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D8" w:rsidRDefault="00FC23B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ИЗВЕЩЕНИЕ</w:t>
      </w:r>
    </w:p>
    <w:p w:rsidR="003037D8" w:rsidRDefault="00FC23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аукциона в электронной форме</w:t>
      </w:r>
    </w:p>
    <w:p w:rsidR="003037D8" w:rsidRDefault="00FC23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право заключения</w:t>
      </w:r>
      <w:r>
        <w:rPr>
          <w:rFonts w:ascii="Times New Roman" w:hAnsi="Times New Roman" w:cs="Times New Roman"/>
          <w:b/>
          <w:bCs/>
        </w:rPr>
        <w:t xml:space="preserve"> договоров купли-продажи</w:t>
      </w:r>
      <w:r>
        <w:rPr>
          <w:rFonts w:ascii="Times New Roman" w:hAnsi="Times New Roman" w:cs="Times New Roman"/>
        </w:rPr>
        <w:t xml:space="preserve"> земельн</w:t>
      </w:r>
      <w:r w:rsidR="00211E5F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участк</w:t>
      </w:r>
      <w:r w:rsidR="00211E5F">
        <w:rPr>
          <w:rFonts w:ascii="Times New Roman" w:hAnsi="Times New Roman" w:cs="Times New Roman"/>
        </w:rPr>
        <w:t>ов</w:t>
      </w:r>
    </w:p>
    <w:p w:rsidR="003037D8" w:rsidRDefault="003037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37D8" w:rsidRDefault="00FC23BD">
      <w:pPr>
        <w:pStyle w:val="af1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Общие положения</w:t>
      </w:r>
    </w:p>
    <w:p w:rsidR="00636593" w:rsidRPr="00636593" w:rsidRDefault="00FC23BD" w:rsidP="00636593">
      <w:pPr>
        <w:pStyle w:val="af1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Cs/>
        </w:rPr>
      </w:pPr>
      <w:r w:rsidRPr="00636593">
        <w:rPr>
          <w:rFonts w:ascii="Times New Roman" w:eastAsia="Times New Roman" w:hAnsi="Times New Roman" w:cs="Times New Roman"/>
        </w:rPr>
        <w:t xml:space="preserve">Организатор аукциона: Администрация </w:t>
      </w:r>
      <w:r w:rsidR="00636593" w:rsidRPr="00636593">
        <w:rPr>
          <w:rFonts w:ascii="Times New Roman" w:eastAsia="Times New Roman" w:hAnsi="Times New Roman" w:cs="Times New Roman"/>
        </w:rPr>
        <w:t>Ивановского сельского поселения Старорусского района</w:t>
      </w:r>
      <w:r w:rsidRPr="00636593">
        <w:rPr>
          <w:rFonts w:ascii="Times New Roman" w:eastAsia="Times New Roman" w:hAnsi="Times New Roman" w:cs="Times New Roman"/>
        </w:rPr>
        <w:t xml:space="preserve"> Новгородской области. </w:t>
      </w:r>
      <w:r w:rsidRPr="00636593">
        <w:rPr>
          <w:rFonts w:ascii="Times New Roman" w:hAnsi="Times New Roman" w:cs="Times New Roman"/>
        </w:rPr>
        <w:t xml:space="preserve">Место нахождения организатора аукциона: </w:t>
      </w:r>
      <w:r w:rsidRPr="00636593">
        <w:rPr>
          <w:rFonts w:ascii="Times New Roman" w:hAnsi="Times New Roman" w:cs="Times New Roman"/>
          <w:bCs/>
        </w:rPr>
        <w:t>Российская Федерация, 1752</w:t>
      </w:r>
      <w:r w:rsidR="00636593" w:rsidRPr="00636593">
        <w:rPr>
          <w:rFonts w:ascii="Times New Roman" w:hAnsi="Times New Roman" w:cs="Times New Roman"/>
          <w:bCs/>
        </w:rPr>
        <w:t>3</w:t>
      </w:r>
      <w:r w:rsidRPr="00636593">
        <w:rPr>
          <w:rFonts w:ascii="Times New Roman" w:hAnsi="Times New Roman" w:cs="Times New Roman"/>
          <w:bCs/>
        </w:rPr>
        <w:t xml:space="preserve">0, Новгородская область, </w:t>
      </w:r>
      <w:r w:rsidR="00636593" w:rsidRPr="00636593">
        <w:rPr>
          <w:rFonts w:ascii="Times New Roman" w:hAnsi="Times New Roman" w:cs="Times New Roman"/>
          <w:bCs/>
        </w:rPr>
        <w:t>Старорусский район, д. Ивановское, ул. Центральная, д.31, т/ф 8 (81652)72-43</w:t>
      </w:r>
      <w:r w:rsidR="0054187D">
        <w:rPr>
          <w:rFonts w:ascii="Times New Roman" w:hAnsi="Times New Roman" w:cs="Times New Roman"/>
          <w:bCs/>
        </w:rPr>
        <w:t>3</w:t>
      </w:r>
      <w:r w:rsidR="00636593" w:rsidRPr="00636593">
        <w:rPr>
          <w:rFonts w:ascii="Times New Roman" w:hAnsi="Times New Roman" w:cs="Times New Roman"/>
          <w:bCs/>
        </w:rPr>
        <w:t>, Эл.</w:t>
      </w:r>
      <w:r w:rsidR="00AA6471">
        <w:rPr>
          <w:rFonts w:ascii="Times New Roman" w:hAnsi="Times New Roman" w:cs="Times New Roman"/>
          <w:bCs/>
        </w:rPr>
        <w:t xml:space="preserve"> </w:t>
      </w:r>
      <w:r w:rsidR="00636593" w:rsidRPr="00636593">
        <w:rPr>
          <w:rFonts w:ascii="Times New Roman" w:hAnsi="Times New Roman" w:cs="Times New Roman"/>
          <w:bCs/>
        </w:rPr>
        <w:t>почта: admivanovskoe53@mail.ru.</w:t>
      </w:r>
    </w:p>
    <w:p w:rsidR="003037D8" w:rsidRPr="00636593" w:rsidRDefault="00FC23BD" w:rsidP="00636593">
      <w:pPr>
        <w:pStyle w:val="af1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</w:rPr>
      </w:pPr>
      <w:r w:rsidRPr="00636593">
        <w:rPr>
          <w:rFonts w:ascii="Times New Roman" w:eastAsia="Times New Roman" w:hAnsi="Times New Roman" w:cs="Times New Roman"/>
        </w:rPr>
        <w:t xml:space="preserve">Основание для проведения аукциона: Постановление администрации </w:t>
      </w:r>
      <w:r w:rsidR="00636593">
        <w:rPr>
          <w:rFonts w:ascii="Times New Roman" w:eastAsia="Times New Roman" w:hAnsi="Times New Roman" w:cs="Times New Roman"/>
        </w:rPr>
        <w:t xml:space="preserve">Ивановского сельского поселения Старорусского района  </w:t>
      </w:r>
      <w:r w:rsidRPr="00636593">
        <w:rPr>
          <w:rFonts w:ascii="Times New Roman" w:eastAsia="Times New Roman" w:hAnsi="Times New Roman" w:cs="Times New Roman"/>
        </w:rPr>
        <w:t xml:space="preserve"> Новгородской области от </w:t>
      </w:r>
      <w:r w:rsidR="00E13E21">
        <w:rPr>
          <w:rFonts w:ascii="Times New Roman" w:eastAsia="Times New Roman" w:hAnsi="Times New Roman" w:cs="Times New Roman"/>
        </w:rPr>
        <w:t>1</w:t>
      </w:r>
      <w:r w:rsidR="00221FB9">
        <w:rPr>
          <w:rFonts w:ascii="Times New Roman" w:eastAsia="Times New Roman" w:hAnsi="Times New Roman" w:cs="Times New Roman"/>
        </w:rPr>
        <w:t>7</w:t>
      </w:r>
      <w:r w:rsidR="00211E5F">
        <w:rPr>
          <w:rFonts w:ascii="Times New Roman" w:eastAsia="Times New Roman" w:hAnsi="Times New Roman" w:cs="Times New Roman"/>
        </w:rPr>
        <w:t>.04</w:t>
      </w:r>
      <w:r w:rsidR="00636593">
        <w:rPr>
          <w:rFonts w:ascii="Times New Roman" w:eastAsia="Times New Roman" w:hAnsi="Times New Roman" w:cs="Times New Roman"/>
        </w:rPr>
        <w:t>.2024</w:t>
      </w:r>
      <w:r w:rsidRPr="00636593">
        <w:rPr>
          <w:rFonts w:ascii="Times New Roman" w:eastAsia="Times New Roman" w:hAnsi="Times New Roman" w:cs="Times New Roman"/>
        </w:rPr>
        <w:t xml:space="preserve"> № </w:t>
      </w:r>
      <w:r w:rsidR="00211E5F">
        <w:rPr>
          <w:rFonts w:ascii="Times New Roman" w:eastAsia="Times New Roman" w:hAnsi="Times New Roman" w:cs="Times New Roman"/>
        </w:rPr>
        <w:t>5</w:t>
      </w:r>
      <w:r w:rsidR="00221FB9">
        <w:rPr>
          <w:rFonts w:ascii="Times New Roman" w:eastAsia="Times New Roman" w:hAnsi="Times New Roman" w:cs="Times New Roman"/>
        </w:rPr>
        <w:t>7</w:t>
      </w:r>
      <w:r w:rsidRPr="00636593">
        <w:rPr>
          <w:rFonts w:ascii="Times New Roman" w:eastAsia="Times New Roman" w:hAnsi="Times New Roman" w:cs="Times New Roman"/>
        </w:rPr>
        <w:t xml:space="preserve"> «О проведении аукциона</w:t>
      </w:r>
      <w:r w:rsidR="00636593">
        <w:rPr>
          <w:rFonts w:ascii="Times New Roman" w:eastAsia="Times New Roman" w:hAnsi="Times New Roman" w:cs="Times New Roman"/>
        </w:rPr>
        <w:t xml:space="preserve"> в электронной форме по продаже земельн</w:t>
      </w:r>
      <w:r w:rsidR="00211E5F">
        <w:rPr>
          <w:rFonts w:ascii="Times New Roman" w:eastAsia="Times New Roman" w:hAnsi="Times New Roman" w:cs="Times New Roman"/>
        </w:rPr>
        <w:t>ых</w:t>
      </w:r>
      <w:r w:rsidR="00636593">
        <w:rPr>
          <w:rFonts w:ascii="Times New Roman" w:eastAsia="Times New Roman" w:hAnsi="Times New Roman" w:cs="Times New Roman"/>
        </w:rPr>
        <w:t xml:space="preserve"> участк</w:t>
      </w:r>
      <w:r w:rsidR="00211E5F">
        <w:rPr>
          <w:rFonts w:ascii="Times New Roman" w:eastAsia="Times New Roman" w:hAnsi="Times New Roman" w:cs="Times New Roman"/>
        </w:rPr>
        <w:t>ов</w:t>
      </w:r>
      <w:r w:rsidRPr="00636593">
        <w:rPr>
          <w:rFonts w:ascii="Times New Roman" w:eastAsia="Times New Roman" w:hAnsi="Times New Roman" w:cs="Times New Roman"/>
        </w:rPr>
        <w:t>»</w:t>
      </w:r>
      <w:r w:rsidR="00636593">
        <w:rPr>
          <w:rFonts w:ascii="Times New Roman" w:eastAsia="Times New Roman" w:hAnsi="Times New Roman" w:cs="Times New Roman"/>
        </w:rPr>
        <w:t>.</w:t>
      </w:r>
    </w:p>
    <w:p w:rsidR="00A819CE" w:rsidRDefault="00FC23B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a4"/>
          <w:rFonts w:ascii="Times New Roman" w:hAnsi="Times New Roman"/>
          <w:color w:val="auto"/>
          <w:u w:val="none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9" w:history="1">
        <w:r>
          <w:rPr>
            <w:rStyle w:val="a4"/>
            <w:rFonts w:ascii="Times New Roman" w:hAnsi="Times New Roman" w:cs="Times New Roman"/>
          </w:rPr>
          <w:t>http://torgi.gov.ru</w:t>
        </w:r>
      </w:hyperlink>
      <w:r>
        <w:rPr>
          <w:rStyle w:val="a4"/>
          <w:rFonts w:ascii="Times New Roman" w:hAnsi="Times New Roman" w:cs="Times New Roman"/>
          <w:color w:val="auto"/>
          <w:u w:val="none"/>
        </w:rPr>
        <w:t xml:space="preserve">, </w:t>
      </w:r>
      <w:r>
        <w:rPr>
          <w:rStyle w:val="a4"/>
          <w:rFonts w:ascii="Times New Roman" w:hAnsi="Times New Roman"/>
          <w:color w:val="auto"/>
          <w:u w:val="none"/>
        </w:rPr>
        <w:t xml:space="preserve">на официальном сайте Администрации </w:t>
      </w:r>
      <w:r w:rsidR="00636593">
        <w:rPr>
          <w:rStyle w:val="a4"/>
          <w:rFonts w:ascii="Times New Roman" w:hAnsi="Times New Roman"/>
          <w:color w:val="auto"/>
          <w:u w:val="none"/>
        </w:rPr>
        <w:t>Ивановского сельского поселения</w:t>
      </w:r>
      <w:r w:rsidR="00636593" w:rsidRPr="00636593">
        <w:rPr>
          <w:rStyle w:val="a4"/>
          <w:rFonts w:ascii="Times New Roman" w:hAnsi="Times New Roman"/>
          <w:color w:val="auto"/>
          <w:u w:val="none"/>
        </w:rPr>
        <w:t xml:space="preserve"> </w:t>
      </w:r>
      <w:r w:rsidR="00636593" w:rsidRPr="00A819CE">
        <w:rPr>
          <w:rStyle w:val="a4"/>
          <w:rFonts w:ascii="Times New Roman" w:hAnsi="Times New Roman"/>
          <w:color w:val="0070C0"/>
        </w:rPr>
        <w:t>https://ivanovskoe-r49.gosweb.gosuslugi.ru</w:t>
      </w:r>
      <w:r>
        <w:rPr>
          <w:rStyle w:val="a4"/>
          <w:rFonts w:ascii="Times New Roman" w:hAnsi="Times New Roman"/>
          <w:color w:val="auto"/>
          <w:u w:val="none"/>
        </w:rPr>
        <w:t xml:space="preserve"> и на электронной площадке</w:t>
      </w:r>
      <w:r w:rsidR="00A819CE" w:rsidRPr="00A819CE">
        <w:t xml:space="preserve"> </w:t>
      </w:r>
      <w:r w:rsidR="009E50E4" w:rsidRPr="009E50E4">
        <w:rPr>
          <w:color w:val="0070C0"/>
        </w:rPr>
        <w:t xml:space="preserve">http:/ </w:t>
      </w:r>
      <w:r w:rsidR="000263FE" w:rsidRPr="000263FE">
        <w:rPr>
          <w:color w:val="0070C0"/>
        </w:rPr>
        <w:t>www.sberbank-ast.ru</w:t>
      </w:r>
      <w:r w:rsidR="000263FE" w:rsidRPr="000263FE">
        <w:rPr>
          <w:rStyle w:val="a4"/>
          <w:color w:val="0070C0"/>
          <w:u w:val="none"/>
        </w:rPr>
        <w:t xml:space="preserve"> </w:t>
      </w:r>
    </w:p>
    <w:p w:rsidR="003037D8" w:rsidRDefault="00FC23B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1.4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Аукцион </w:t>
      </w:r>
      <w:r>
        <w:rPr>
          <w:rFonts w:ascii="Times New Roman" w:hAnsi="Times New Roman" w:cs="Times New Roman"/>
        </w:rPr>
        <w:t xml:space="preserve">в электронной форме </w:t>
      </w:r>
      <w:r>
        <w:rPr>
          <w:rFonts w:ascii="Times New Roman" w:eastAsia="Times New Roman" w:hAnsi="Times New Roman" w:cs="Times New Roman"/>
        </w:rPr>
        <w:t xml:space="preserve">является открытым по составу участников. 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Место </w:t>
      </w:r>
      <w:r>
        <w:rPr>
          <w:rFonts w:ascii="Times New Roman" w:eastAsia="Times New Roman" w:hAnsi="Times New Roman" w:cs="Times New Roman"/>
          <w:bCs/>
        </w:rPr>
        <w:t>проведения аукциона в электронной форме:</w:t>
      </w:r>
      <w:r w:rsidR="00A819CE" w:rsidRPr="00A819CE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 xml:space="preserve">Электронная площадка – универсальная торговая платформа </w:t>
      </w:r>
      <w:r w:rsidR="00A819CE" w:rsidRPr="00A819CE">
        <w:rPr>
          <w:rFonts w:ascii="Times New Roman" w:eastAsia="Calibri" w:hAnsi="Times New Roman" w:cs="Times New Roman"/>
          <w:b/>
          <w:bCs/>
        </w:rPr>
        <w:t>АО «Сбербанк-АСТ»</w:t>
      </w:r>
      <w:r>
        <w:rPr>
          <w:rFonts w:ascii="Times New Roman" w:eastAsia="Calibri" w:hAnsi="Times New Roman" w:cs="Times New Roman"/>
          <w:bCs/>
        </w:rPr>
        <w:t>, размещенная на сайте</w:t>
      </w:r>
      <w:r w:rsidR="00AA6471" w:rsidRPr="00AA6471">
        <w:t xml:space="preserve"> </w:t>
      </w:r>
      <w:r w:rsidR="00AA6471" w:rsidRPr="00AA6471">
        <w:rPr>
          <w:rFonts w:ascii="Times New Roman" w:eastAsia="Calibri" w:hAnsi="Times New Roman" w:cs="Times New Roman"/>
          <w:bCs/>
        </w:rPr>
        <w:t>sberbank-ast.ru</w:t>
      </w:r>
      <w:r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сети «Интернет». </w:t>
      </w:r>
      <w:r>
        <w:rPr>
          <w:rFonts w:ascii="Times New Roman" w:eastAsia="Calibri" w:hAnsi="Times New Roman" w:cs="Times New Roman"/>
        </w:rPr>
        <w:t xml:space="preserve">Юридическое лицо для организации аукциона в электронной форме – </w:t>
      </w:r>
      <w:r w:rsidR="00AA6471" w:rsidRPr="00AA6471">
        <w:rPr>
          <w:rFonts w:ascii="Times New Roman" w:eastAsia="Calibri" w:hAnsi="Times New Roman" w:cs="Times New Roman"/>
        </w:rPr>
        <w:t>Акционерное общество «Сбербанк</w:t>
      </w:r>
      <w:r w:rsidR="000050C9">
        <w:rPr>
          <w:rFonts w:ascii="Times New Roman" w:eastAsia="Calibri" w:hAnsi="Times New Roman" w:cs="Times New Roman"/>
        </w:rPr>
        <w:t>-</w:t>
      </w:r>
      <w:r w:rsidR="00AA6471" w:rsidRPr="00AA6471">
        <w:rPr>
          <w:rFonts w:ascii="Times New Roman" w:eastAsia="Calibri" w:hAnsi="Times New Roman" w:cs="Times New Roman"/>
        </w:rPr>
        <w:t xml:space="preserve">  </w:t>
      </w:r>
      <w:proofErr w:type="gramStart"/>
      <w:r w:rsidR="00AA6471" w:rsidRPr="00AA6471">
        <w:rPr>
          <w:rFonts w:ascii="Times New Roman" w:eastAsia="Calibri" w:hAnsi="Times New Roman" w:cs="Times New Roman"/>
        </w:rPr>
        <w:t>А</w:t>
      </w:r>
      <w:r w:rsidR="000050C9">
        <w:rPr>
          <w:rFonts w:ascii="Times New Roman" w:eastAsia="Calibri" w:hAnsi="Times New Roman" w:cs="Times New Roman"/>
        </w:rPr>
        <w:t>СТ</w:t>
      </w:r>
      <w:r w:rsidR="00AA6471" w:rsidRPr="00AA6471">
        <w:rPr>
          <w:rFonts w:ascii="Times New Roman" w:eastAsia="Calibri" w:hAnsi="Times New Roman" w:cs="Times New Roman"/>
        </w:rPr>
        <w:t xml:space="preserve">» </w:t>
      </w:r>
      <w:r>
        <w:rPr>
          <w:rFonts w:ascii="Times New Roman" w:eastAsia="Calibri" w:hAnsi="Times New Roman" w:cs="Times New Roman"/>
          <w:bCs/>
        </w:rPr>
        <w:t xml:space="preserve"> -</w:t>
      </w:r>
      <w:proofErr w:type="gramEnd"/>
      <w:r>
        <w:rPr>
          <w:rFonts w:ascii="Times New Roman" w:eastAsia="Calibri" w:hAnsi="Times New Roman" w:cs="Times New Roman"/>
          <w:bCs/>
        </w:rPr>
        <w:t xml:space="preserve"> Автоматизированная система торгов» (далее – оператор электронной площадки)</w:t>
      </w:r>
    </w:p>
    <w:p w:rsidR="000050C9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Электронная площадка (универсальная торговая платформа) –</w:t>
      </w:r>
      <w:r w:rsidR="000050C9" w:rsidRPr="000050C9">
        <w:t xml:space="preserve"> </w:t>
      </w:r>
      <w:r w:rsidR="000050C9" w:rsidRPr="000050C9">
        <w:rPr>
          <w:rFonts w:ascii="Times New Roman" w:eastAsia="Calibri" w:hAnsi="Times New Roman" w:cs="Times New Roman"/>
          <w:bCs/>
        </w:rPr>
        <w:t>АО «Сбербанк–АСТ» (</w:t>
      </w:r>
      <w:hyperlink r:id="rId10" w:history="1">
        <w:r w:rsidR="000050C9" w:rsidRPr="00A42278">
          <w:rPr>
            <w:rStyle w:val="a4"/>
            <w:rFonts w:ascii="Times New Roman" w:eastAsia="Calibri" w:hAnsi="Times New Roman" w:cs="Times New Roman"/>
            <w:bCs/>
          </w:rPr>
          <w:t>https://utp.sberbank-ast.ru</w:t>
        </w:r>
      </w:hyperlink>
      <w:r w:rsidR="000050C9" w:rsidRPr="000050C9">
        <w:rPr>
          <w:rFonts w:ascii="Times New Roman" w:eastAsia="Calibri" w:hAnsi="Times New Roman" w:cs="Times New Roman"/>
          <w:bCs/>
        </w:rPr>
        <w:t>)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hAnsi="Times New Roman" w:cs="Times New Roman"/>
          <w:color w:val="000000"/>
          <w:spacing w:val="5"/>
        </w:rPr>
        <w:t xml:space="preserve">Дата, время и порядок осмотра земельного участка на </w:t>
      </w:r>
      <w:r>
        <w:rPr>
          <w:rFonts w:ascii="Times New Roman" w:hAnsi="Times New Roman" w:cs="Times New Roman"/>
          <w:color w:val="000000"/>
        </w:rPr>
        <w:t>местности: осмотр земельных участков проводиться самостоятельно.</w:t>
      </w:r>
    </w:p>
    <w:p w:rsidR="003037D8" w:rsidRDefault="0030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037D8" w:rsidRDefault="00FC23BD">
      <w:pPr>
        <w:pStyle w:val="af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9" w:firstLine="709"/>
        <w:contextualSpacing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Предмет аукциона</w:t>
      </w:r>
    </w:p>
    <w:p w:rsidR="003037D8" w:rsidRDefault="00FC23BD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Предмет аукциона: право на заключение </w:t>
      </w:r>
      <w:r>
        <w:rPr>
          <w:rFonts w:ascii="Times New Roman" w:hAnsi="Times New Roman" w:cs="Times New Roman"/>
          <w:b/>
          <w:bCs/>
        </w:rPr>
        <w:t>договор</w:t>
      </w:r>
      <w:r w:rsidR="001242CE"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</w:rPr>
        <w:t xml:space="preserve"> купли-продажи</w:t>
      </w:r>
      <w:r>
        <w:rPr>
          <w:rFonts w:ascii="Times New Roman" w:hAnsi="Times New Roman" w:cs="Times New Roman"/>
        </w:rPr>
        <w:t xml:space="preserve"> </w:t>
      </w:r>
      <w:r w:rsidR="00A967FF">
        <w:rPr>
          <w:rFonts w:ascii="Times New Roman" w:hAnsi="Times New Roman" w:cs="Times New Roman"/>
        </w:rPr>
        <w:t xml:space="preserve"> </w:t>
      </w:r>
      <w:r w:rsidR="00AE5B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</w:t>
      </w:r>
      <w:r w:rsidR="00A8207F">
        <w:rPr>
          <w:rFonts w:ascii="Times New Roman" w:hAnsi="Times New Roman" w:cs="Times New Roman"/>
        </w:rPr>
        <w:t>ых</w:t>
      </w:r>
      <w:r w:rsidR="001242CE">
        <w:rPr>
          <w:rFonts w:ascii="Times New Roman" w:hAnsi="Times New Roman" w:cs="Times New Roman"/>
        </w:rPr>
        <w:t xml:space="preserve"> </w:t>
      </w:r>
      <w:r w:rsidR="002E62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участк</w:t>
      </w:r>
      <w:r w:rsidR="00A8207F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:</w:t>
      </w:r>
    </w:p>
    <w:tbl>
      <w:tblPr>
        <w:tblStyle w:val="af0"/>
        <w:tblW w:w="10560" w:type="dxa"/>
        <w:tblInd w:w="-343" w:type="dxa"/>
        <w:tblLayout w:type="fixed"/>
        <w:tblLook w:val="04A0" w:firstRow="1" w:lastRow="0" w:firstColumn="1" w:lastColumn="0" w:noHBand="0" w:noVBand="1"/>
      </w:tblPr>
      <w:tblGrid>
        <w:gridCol w:w="3569"/>
        <w:gridCol w:w="6991"/>
      </w:tblGrid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ЛОТ 1</w:t>
            </w:r>
          </w:p>
        </w:tc>
        <w:tc>
          <w:tcPr>
            <w:tcW w:w="6991" w:type="dxa"/>
          </w:tcPr>
          <w:p w:rsidR="003037D8" w:rsidRDefault="003037D8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</w:rPr>
              <w:t>адрес</w:t>
            </w:r>
          </w:p>
        </w:tc>
        <w:tc>
          <w:tcPr>
            <w:tcW w:w="6991" w:type="dxa"/>
          </w:tcPr>
          <w:p w:rsidR="003037D8" w:rsidRDefault="00A8207F" w:rsidP="00FE6AEC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  <w:r w:rsidRPr="00A8207F">
              <w:rPr>
                <w:rFonts w:ascii="Times New Roman" w:eastAsiaTheme="minorHAnsi" w:hAnsi="Times New Roman" w:cs="Times New Roman"/>
                <w:lang w:eastAsia="zh-CN"/>
              </w:rPr>
              <w:t>Российская Федерация, Новгородская область, Старорусский муниципальный район, Ивановское сельское поселение</w:t>
            </w:r>
            <w:r w:rsidR="00221FB9">
              <w:rPr>
                <w:rFonts w:ascii="Times New Roman" w:eastAsiaTheme="minorHAnsi" w:hAnsi="Times New Roman" w:cs="Times New Roman"/>
                <w:lang w:eastAsia="zh-CN"/>
              </w:rPr>
              <w:t>,</w:t>
            </w:r>
            <w:r w:rsidR="00221FB9">
              <w:t xml:space="preserve"> </w:t>
            </w:r>
            <w:r w:rsidR="00221FB9" w:rsidRPr="00221FB9">
              <w:rPr>
                <w:rFonts w:ascii="Times New Roman" w:eastAsiaTheme="minorHAnsi" w:hAnsi="Times New Roman" w:cs="Times New Roman"/>
                <w:lang w:eastAsia="zh-CN"/>
              </w:rPr>
              <w:t>земельный участок 2/3с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площадь, кв.</w:t>
            </w:r>
            <w:r w:rsidR="000050C9">
              <w:rPr>
                <w:rFonts w:ascii="Times New Roman" w:eastAsiaTheme="minorHAns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м. </w:t>
            </w:r>
          </w:p>
        </w:tc>
        <w:tc>
          <w:tcPr>
            <w:tcW w:w="6991" w:type="dxa"/>
          </w:tcPr>
          <w:p w:rsidR="003037D8" w:rsidRPr="000050C9" w:rsidRDefault="00221FB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  <w:r w:rsidRPr="00221FB9">
              <w:rPr>
                <w:rFonts w:ascii="Times New Roman" w:eastAsiaTheme="minorHAnsi" w:hAnsi="Times New Roman" w:cs="Times New Roman"/>
                <w:bCs/>
                <w:lang w:eastAsia="zh-CN"/>
              </w:rPr>
              <w:t>69031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кадастровый номер</w:t>
            </w:r>
          </w:p>
        </w:tc>
        <w:tc>
          <w:tcPr>
            <w:tcW w:w="6991" w:type="dxa"/>
          </w:tcPr>
          <w:p w:rsidR="003037D8" w:rsidRDefault="00221FB9" w:rsidP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</w:pPr>
            <w:r w:rsidRPr="00221FB9"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  <w:t>53:17:0212102:10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вид разрешенного использования земельного участка</w:t>
            </w:r>
          </w:p>
          <w:p w:rsidR="003037D8" w:rsidRDefault="00FC23BD">
            <w:pPr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 w:rsidR="000050C9" w:rsidRPr="000050C9" w:rsidRDefault="000050C9" w:rsidP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bCs/>
                <w:lang w:eastAsia="zh-CN"/>
              </w:rPr>
              <w:t>для сельскохозяйственного производства.</w:t>
            </w:r>
          </w:p>
          <w:p w:rsidR="000050C9" w:rsidRPr="000050C9" w:rsidRDefault="000050C9" w:rsidP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</w:p>
          <w:p w:rsidR="003037D8" w:rsidRDefault="000050C9" w:rsidP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bCs/>
                <w:lang w:eastAsia="zh-CN"/>
              </w:rPr>
              <w:t>Согласно Правилам землепользования и застройки Ивановского сельского поселения Старорусского муниципального района Новгородской области, утверждёнными решением Думы Старорусского муниципального района от 06.04.2023№41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права</w:t>
            </w:r>
          </w:p>
        </w:tc>
        <w:tc>
          <w:tcPr>
            <w:tcW w:w="6991" w:type="dxa"/>
          </w:tcPr>
          <w:p w:rsidR="003037D8" w:rsidRDefault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lang w:eastAsia="zh-CN"/>
              </w:rPr>
              <w:t>Муниципальная собственность Ивановского сельского поселения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en-US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>категория земель</w:t>
            </w:r>
          </w:p>
        </w:tc>
        <w:tc>
          <w:tcPr>
            <w:tcW w:w="6991" w:type="dxa"/>
          </w:tcPr>
          <w:p w:rsidR="003037D8" w:rsidRDefault="000050C9" w:rsidP="000050C9">
            <w:pPr>
              <w:pStyle w:val="af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eastAsiaTheme="minorHAnsi"/>
                <w:color w:val="000000"/>
                <w:lang w:eastAsia="zh-CN"/>
              </w:rPr>
            </w:pPr>
            <w:r w:rsidRPr="000050C9">
              <w:rPr>
                <w:rFonts w:eastAsiaTheme="minorHAnsi"/>
                <w:color w:val="000000"/>
                <w:lang w:eastAsia="zh-CN"/>
              </w:rPr>
              <w:t>земли сельскохозяйственного назначения.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 w:rsidR="003037D8" w:rsidRDefault="00221FB9">
            <w:pPr>
              <w:widowControl w:val="0"/>
              <w:autoSpaceDN w:val="0"/>
              <w:spacing w:after="0" w:line="240" w:lineRule="atLeast"/>
              <w:ind w:firstLineChars="250" w:firstLine="550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lang w:eastAsia="zh-CN"/>
              </w:rPr>
            </w:pPr>
            <w:r w:rsidRPr="00221FB9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 xml:space="preserve">ограничения прав на земельный участок, предусмотренные статьей 56 Земельного кодекса Российской Федерации; срок действия: c 05.02.2009; реквизиты документа-основания: описание земельного участка от 31.10.2008 № 2169. вид ограничения(обременения): ограничения прав на земельный участок, предусмотренные статьей 56 Земельного кодекса Российской Федерации; срок действия: c 05.02.2009; реквизиты документа-основания: описание земельного участка от 31.10.2008 № 2169.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16.12.2015; реквизиты документа-основания: доверенность от 19.11.2015 №1-1309 выдан: ПАО "МРСК Северо-Запада". вид </w:t>
            </w:r>
            <w:r w:rsidRPr="00221FB9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lastRenderedPageBreak/>
              <w:t>ограничения (обременения): ограничения прав на земельный участок, предусмотренные статьей 56 Земельного кодекса Российской Федерации; срок действия: c 18.11.2016; реквизиты документа-основания: постановление Правительства Российской Федерации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Российской Федерации.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29.07.2022; реквизиты документа-основания: постановление "Об установлении публичного сервитута" от 21.06.2022 № 1466 выдан: Администрация Старорусского муниципального района Новгородской области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lastRenderedPageBreak/>
              <w:t>-технологические условия подключения</w:t>
            </w:r>
          </w:p>
        </w:tc>
        <w:tc>
          <w:tcPr>
            <w:tcW w:w="6991" w:type="dxa"/>
          </w:tcPr>
          <w:p w:rsidR="003037D8" w:rsidRDefault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Градостроительные регламенты не устанавливаются для земель сельскохозяйственных угодий в составе земель сельскохозяйственного назначения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FC23BD" w:rsidP="00007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Начальная цена </w:t>
            </w:r>
            <w:r>
              <w:rPr>
                <w:rFonts w:ascii="Times New Roman" w:eastAsiaTheme="minorHAnsi" w:hAnsi="Times New Roman" w:cs="Times New Roman"/>
              </w:rPr>
              <w:t xml:space="preserve">за право на заключение </w:t>
            </w:r>
            <w:r>
              <w:rPr>
                <w:rFonts w:ascii="Times New Roman" w:eastAsiaTheme="minorHAnsi" w:hAnsi="Times New Roman" w:cs="Times New Roman"/>
                <w:bCs/>
              </w:rPr>
              <w:t>договора купли-продажи</w:t>
            </w:r>
            <w:r w:rsidR="00007FA9">
              <w:rPr>
                <w:rFonts w:ascii="Times New Roman" w:eastAsiaTheme="minorHAnsi" w:hAnsi="Times New Roman" w:cs="Times New Roman"/>
              </w:rPr>
              <w:t xml:space="preserve"> (Определена кадастровая стоимость)</w:t>
            </w:r>
          </w:p>
        </w:tc>
        <w:tc>
          <w:tcPr>
            <w:tcW w:w="6991" w:type="dxa"/>
          </w:tcPr>
          <w:p w:rsidR="003037D8" w:rsidRDefault="00221FB9" w:rsidP="00C6026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156991.26 (сто пятьдесят шесть тысячи девятьсот девяносто </w:t>
            </w:r>
            <w:r w:rsidR="00C6026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один рублей</w:t>
            </w:r>
            <w:r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) 26 копеек</w:t>
            </w:r>
          </w:p>
        </w:tc>
      </w:tr>
      <w:tr w:rsidR="003037D8">
        <w:trPr>
          <w:trHeight w:val="365"/>
        </w:trPr>
        <w:tc>
          <w:tcPr>
            <w:tcW w:w="3569" w:type="dxa"/>
          </w:tcPr>
          <w:p w:rsidR="003037D8" w:rsidRDefault="00551328" w:rsidP="00551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«</w:t>
            </w:r>
            <w:r w:rsidR="00FC23BD">
              <w:rPr>
                <w:rFonts w:ascii="Times New Roman" w:eastAsiaTheme="minorHAnsi" w:hAnsi="Times New Roman" w:cs="Times New Roman"/>
                <w:color w:val="000000"/>
              </w:rPr>
              <w:t>Шаг аукциона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>»</w:t>
            </w:r>
          </w:p>
        </w:tc>
        <w:tc>
          <w:tcPr>
            <w:tcW w:w="6991" w:type="dxa"/>
          </w:tcPr>
          <w:p w:rsidR="003037D8" w:rsidRDefault="00221FB9" w:rsidP="00221FB9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4709,73(четыре тысячи семьсот девять рублей)73 копеек</w:t>
            </w:r>
          </w:p>
        </w:tc>
      </w:tr>
      <w:tr w:rsidR="00551328">
        <w:trPr>
          <w:trHeight w:val="365"/>
        </w:trPr>
        <w:tc>
          <w:tcPr>
            <w:tcW w:w="3569" w:type="dxa"/>
          </w:tcPr>
          <w:p w:rsidR="00551328" w:rsidRDefault="00551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551328">
              <w:rPr>
                <w:rFonts w:ascii="Times New Roman" w:eastAsiaTheme="minorHAnsi" w:hAnsi="Times New Roman" w:cs="Times New Roman"/>
                <w:color w:val="000000"/>
              </w:rPr>
              <w:t>Размер задатка</w:t>
            </w:r>
          </w:p>
        </w:tc>
        <w:tc>
          <w:tcPr>
            <w:tcW w:w="6991" w:type="dxa"/>
          </w:tcPr>
          <w:p w:rsidR="00551328" w:rsidRDefault="00221FB9" w:rsidP="00A80009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31398,25 (тридцать одна тысячи триста девяносто восемь рублей) 25копеек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A820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ЛОТ 2</w:t>
            </w:r>
          </w:p>
        </w:tc>
        <w:tc>
          <w:tcPr>
            <w:tcW w:w="6991" w:type="dxa"/>
          </w:tcPr>
          <w:p w:rsidR="00A8207F" w:rsidRDefault="00A8207F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</w:rPr>
              <w:t>адрес</w:t>
            </w:r>
          </w:p>
        </w:tc>
        <w:tc>
          <w:tcPr>
            <w:tcW w:w="6991" w:type="dxa"/>
          </w:tcPr>
          <w:p w:rsidR="00A8207F" w:rsidRDefault="00A8207F" w:rsidP="00221FB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  <w:r w:rsidRPr="00A8207F">
              <w:rPr>
                <w:rFonts w:ascii="Times New Roman" w:eastAsiaTheme="minorHAnsi" w:hAnsi="Times New Roman" w:cs="Times New Roman"/>
                <w:lang w:eastAsia="zh-CN"/>
              </w:rPr>
              <w:t xml:space="preserve">Российская Федерация, Новгородская область, Старорусский муниципальный район, Ивановское сельское поселение </w:t>
            </w:r>
          </w:p>
        </w:tc>
      </w:tr>
      <w:tr w:rsidR="00A8207F" w:rsidRPr="000050C9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- площадь, кв. м. </w:t>
            </w:r>
          </w:p>
        </w:tc>
        <w:tc>
          <w:tcPr>
            <w:tcW w:w="6991" w:type="dxa"/>
          </w:tcPr>
          <w:p w:rsidR="00A8207F" w:rsidRPr="000050C9" w:rsidRDefault="00221FB9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  <w:r w:rsidRPr="00221FB9">
              <w:rPr>
                <w:rFonts w:ascii="Times New Roman" w:eastAsiaTheme="minorHAnsi" w:hAnsi="Times New Roman" w:cs="Times New Roman"/>
                <w:bCs/>
                <w:lang w:eastAsia="zh-CN"/>
              </w:rPr>
              <w:t>75747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кадастровый номер</w:t>
            </w:r>
          </w:p>
        </w:tc>
        <w:tc>
          <w:tcPr>
            <w:tcW w:w="6991" w:type="dxa"/>
          </w:tcPr>
          <w:p w:rsidR="00A8207F" w:rsidRDefault="00221FB9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</w:pPr>
            <w:r w:rsidRPr="00221FB9"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  <w:t>53:17:0212114:31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вид разрешенного использования земельного участка</w:t>
            </w:r>
          </w:p>
          <w:p w:rsidR="00A8207F" w:rsidRDefault="00A8207F" w:rsidP="00365F74">
            <w:pPr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 w:rsidR="00A8207F" w:rsidRPr="000050C9" w:rsidRDefault="00A8207F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bCs/>
                <w:lang w:eastAsia="zh-CN"/>
              </w:rPr>
              <w:t>для сельскохозяйственного производства.</w:t>
            </w:r>
          </w:p>
          <w:p w:rsidR="00A8207F" w:rsidRPr="000050C9" w:rsidRDefault="00A8207F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</w:p>
          <w:p w:rsidR="00A8207F" w:rsidRDefault="00A8207F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bCs/>
                <w:lang w:eastAsia="zh-CN"/>
              </w:rPr>
              <w:t>Согласно Правилам землепользования и застройки Ивановского сельского поселения Старорусского муниципального района Новгородской области, утверждёнными решением Думы Старорусского муниципального района от 06.04.2023№41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права</w:t>
            </w:r>
          </w:p>
        </w:tc>
        <w:tc>
          <w:tcPr>
            <w:tcW w:w="6991" w:type="dxa"/>
          </w:tcPr>
          <w:p w:rsidR="00A8207F" w:rsidRDefault="00A8207F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lang w:eastAsia="zh-CN"/>
              </w:rPr>
              <w:t>Муниципальная собственность Ивановского сельского поселения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en-US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>категория земель</w:t>
            </w:r>
          </w:p>
        </w:tc>
        <w:tc>
          <w:tcPr>
            <w:tcW w:w="6991" w:type="dxa"/>
          </w:tcPr>
          <w:p w:rsidR="00A8207F" w:rsidRDefault="00A8207F" w:rsidP="00365F74">
            <w:pPr>
              <w:pStyle w:val="af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eastAsiaTheme="minorHAnsi"/>
                <w:color w:val="000000"/>
                <w:lang w:eastAsia="zh-CN"/>
              </w:rPr>
            </w:pPr>
            <w:r w:rsidRPr="000050C9">
              <w:rPr>
                <w:rFonts w:eastAsiaTheme="minorHAnsi"/>
                <w:color w:val="000000"/>
                <w:lang w:eastAsia="zh-CN"/>
              </w:rPr>
              <w:t>земли сельскохозяйственного назначения.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 w:rsidR="00A8207F" w:rsidRDefault="00A8207F" w:rsidP="00365F74">
            <w:pPr>
              <w:widowControl w:val="0"/>
              <w:autoSpaceDN w:val="0"/>
              <w:spacing w:after="0" w:line="240" w:lineRule="atLeast"/>
              <w:ind w:firstLineChars="250" w:firstLine="550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нет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 w:rsidR="00A8207F" w:rsidRDefault="00A8207F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Градостроительные регламенты не устанавливаются для земель сельскохозяйственных угодий в составе земель сельскохозяйственного назначения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Начальная цена </w:t>
            </w:r>
            <w:r>
              <w:rPr>
                <w:rFonts w:ascii="Times New Roman" w:eastAsiaTheme="minorHAnsi" w:hAnsi="Times New Roman" w:cs="Times New Roman"/>
              </w:rPr>
              <w:t xml:space="preserve">за право на заключение </w:t>
            </w:r>
            <w:r>
              <w:rPr>
                <w:rFonts w:ascii="Times New Roman" w:eastAsiaTheme="minorHAnsi" w:hAnsi="Times New Roman" w:cs="Times New Roman"/>
                <w:bCs/>
              </w:rPr>
              <w:t>договора купли-продажи</w:t>
            </w:r>
            <w:r>
              <w:rPr>
                <w:rFonts w:ascii="Times New Roman" w:eastAsiaTheme="minorHAnsi" w:hAnsi="Times New Roman" w:cs="Times New Roman"/>
              </w:rPr>
              <w:t xml:space="preserve"> (Определена кадастровая стоимость)</w:t>
            </w:r>
          </w:p>
        </w:tc>
        <w:tc>
          <w:tcPr>
            <w:tcW w:w="6991" w:type="dxa"/>
          </w:tcPr>
          <w:p w:rsidR="00A8207F" w:rsidRDefault="00221FB9" w:rsidP="00365F7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172264.88 (сто семьдесят две </w:t>
            </w:r>
            <w:proofErr w:type="gramStart"/>
            <w:r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тысячи  двести</w:t>
            </w:r>
            <w:proofErr w:type="gramEnd"/>
            <w:r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шестьдесят четыре  рублей)88 копеек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551328" w:rsidP="00551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«</w:t>
            </w:r>
            <w:r w:rsidR="00A8207F">
              <w:rPr>
                <w:rFonts w:ascii="Times New Roman" w:eastAsiaTheme="minorHAnsi" w:hAnsi="Times New Roman" w:cs="Times New Roman"/>
                <w:color w:val="000000"/>
              </w:rPr>
              <w:t>Шаг аукциона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>»</w:t>
            </w:r>
          </w:p>
        </w:tc>
        <w:tc>
          <w:tcPr>
            <w:tcW w:w="6991" w:type="dxa"/>
          </w:tcPr>
          <w:p w:rsidR="00A8207F" w:rsidRDefault="00221FB9" w:rsidP="00365F7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5167,95(</w:t>
            </w:r>
            <w:proofErr w:type="gramStart"/>
            <w:r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пять  тысячи</w:t>
            </w:r>
            <w:proofErr w:type="gramEnd"/>
            <w:r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сто шестьдесят семь рублей) 95копеек</w:t>
            </w:r>
          </w:p>
        </w:tc>
      </w:tr>
      <w:tr w:rsidR="00551328" w:rsidTr="00365F74">
        <w:trPr>
          <w:trHeight w:val="365"/>
        </w:trPr>
        <w:tc>
          <w:tcPr>
            <w:tcW w:w="3569" w:type="dxa"/>
          </w:tcPr>
          <w:p w:rsidR="00551328" w:rsidRDefault="00551328" w:rsidP="00551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551328">
              <w:rPr>
                <w:rFonts w:ascii="Times New Roman" w:eastAsiaTheme="minorHAnsi" w:hAnsi="Times New Roman" w:cs="Times New Roman"/>
                <w:color w:val="000000"/>
              </w:rPr>
              <w:t>Размер задатка</w:t>
            </w:r>
          </w:p>
        </w:tc>
        <w:tc>
          <w:tcPr>
            <w:tcW w:w="6991" w:type="dxa"/>
          </w:tcPr>
          <w:p w:rsidR="00551328" w:rsidRDefault="00E15C55" w:rsidP="00E15C55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  <w:r w:rsidR="00221FB9"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4452,98 (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тридцать </w:t>
            </w:r>
            <w:r w:rsidR="00221FB9"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четыре</w:t>
            </w:r>
            <w:proofErr w:type="gramEnd"/>
            <w:r w:rsidR="00221FB9"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 тысячи четыреста пятьдесят два  рублей)98 копеек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A820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ЛОТ 3</w:t>
            </w:r>
          </w:p>
        </w:tc>
        <w:tc>
          <w:tcPr>
            <w:tcW w:w="6991" w:type="dxa"/>
          </w:tcPr>
          <w:p w:rsidR="00A8207F" w:rsidRDefault="00A8207F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</w:rPr>
              <w:lastRenderedPageBreak/>
              <w:t>адрес</w:t>
            </w:r>
          </w:p>
        </w:tc>
        <w:tc>
          <w:tcPr>
            <w:tcW w:w="6991" w:type="dxa"/>
          </w:tcPr>
          <w:p w:rsidR="00A8207F" w:rsidRDefault="00551328" w:rsidP="00221FB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  <w:r w:rsidRPr="00551328">
              <w:rPr>
                <w:rFonts w:ascii="Times New Roman" w:eastAsiaTheme="minorHAnsi" w:hAnsi="Times New Roman" w:cs="Times New Roman"/>
                <w:lang w:eastAsia="zh-CN"/>
              </w:rPr>
              <w:t>Российская Федерация, Новгородская область, Старорусский муниципальный район, Ивановское сельское поселение, земельный участок</w:t>
            </w:r>
            <w:r w:rsidR="00A36E2F">
              <w:rPr>
                <w:rFonts w:ascii="Times New Roman" w:eastAsiaTheme="minorHAnsi" w:hAnsi="Times New Roman" w:cs="Times New Roman"/>
                <w:lang w:eastAsia="zh-CN"/>
              </w:rPr>
              <w:t xml:space="preserve"> </w:t>
            </w:r>
            <w:r w:rsidR="00221FB9" w:rsidRPr="00221FB9">
              <w:rPr>
                <w:rFonts w:ascii="Times New Roman" w:eastAsiaTheme="minorHAnsi" w:hAnsi="Times New Roman" w:cs="Times New Roman"/>
                <w:lang w:eastAsia="zh-CN"/>
              </w:rPr>
              <w:t>10/18с</w:t>
            </w:r>
          </w:p>
        </w:tc>
      </w:tr>
      <w:tr w:rsidR="00A8207F" w:rsidRPr="000050C9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- площадь, кв. м. </w:t>
            </w:r>
          </w:p>
        </w:tc>
        <w:tc>
          <w:tcPr>
            <w:tcW w:w="6991" w:type="dxa"/>
          </w:tcPr>
          <w:p w:rsidR="00A8207F" w:rsidRPr="000050C9" w:rsidRDefault="00221FB9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  <w:r w:rsidRPr="00221FB9">
              <w:rPr>
                <w:rFonts w:ascii="Times New Roman" w:eastAsiaTheme="minorHAnsi" w:hAnsi="Times New Roman" w:cs="Times New Roman"/>
                <w:bCs/>
                <w:lang w:eastAsia="zh-CN"/>
              </w:rPr>
              <w:t>67914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кадастровый номер</w:t>
            </w:r>
          </w:p>
        </w:tc>
        <w:tc>
          <w:tcPr>
            <w:tcW w:w="6991" w:type="dxa"/>
          </w:tcPr>
          <w:p w:rsidR="00A8207F" w:rsidRDefault="00221FB9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</w:pPr>
            <w:r w:rsidRPr="00221FB9"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  <w:t>53:17:0212110:131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вид разрешенного использования земельного участка</w:t>
            </w:r>
          </w:p>
          <w:p w:rsidR="00A8207F" w:rsidRDefault="00A8207F" w:rsidP="00365F74">
            <w:pPr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 w:rsidR="00A8207F" w:rsidRPr="000050C9" w:rsidRDefault="00A8207F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bCs/>
                <w:lang w:eastAsia="zh-CN"/>
              </w:rPr>
              <w:t>для сельскохозяйственного производства.</w:t>
            </w:r>
          </w:p>
          <w:p w:rsidR="00A8207F" w:rsidRPr="000050C9" w:rsidRDefault="00A8207F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</w:p>
          <w:p w:rsidR="00A8207F" w:rsidRDefault="00A8207F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bCs/>
                <w:lang w:eastAsia="zh-CN"/>
              </w:rPr>
              <w:t>Согласно Правилам землепользования и застройки Ивановского сельского поселения Старорусского муниципального района Новгородской области, утверждёнными решением Думы Старорусского муниципального района от 06.04.2023№41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права</w:t>
            </w:r>
          </w:p>
        </w:tc>
        <w:tc>
          <w:tcPr>
            <w:tcW w:w="6991" w:type="dxa"/>
          </w:tcPr>
          <w:p w:rsidR="00A8207F" w:rsidRDefault="00A8207F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lang w:eastAsia="zh-CN"/>
              </w:rPr>
              <w:t>Муниципальная собственность Ивановского сельского поселения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en-US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>категория земель</w:t>
            </w:r>
          </w:p>
        </w:tc>
        <w:tc>
          <w:tcPr>
            <w:tcW w:w="6991" w:type="dxa"/>
          </w:tcPr>
          <w:p w:rsidR="00A8207F" w:rsidRDefault="00A8207F" w:rsidP="00365F74">
            <w:pPr>
              <w:pStyle w:val="af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eastAsiaTheme="minorHAnsi"/>
                <w:color w:val="000000"/>
                <w:lang w:eastAsia="zh-CN"/>
              </w:rPr>
            </w:pPr>
            <w:r w:rsidRPr="000050C9">
              <w:rPr>
                <w:rFonts w:eastAsiaTheme="minorHAnsi"/>
                <w:color w:val="000000"/>
                <w:lang w:eastAsia="zh-CN"/>
              </w:rPr>
              <w:t>земли сельскохозяйственного назначения.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 w:rsidR="00A8207F" w:rsidRDefault="00A8207F" w:rsidP="00365F74">
            <w:pPr>
              <w:widowControl w:val="0"/>
              <w:autoSpaceDN w:val="0"/>
              <w:spacing w:after="0" w:line="240" w:lineRule="atLeast"/>
              <w:ind w:firstLineChars="250" w:firstLine="550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нет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 w:rsidR="00A8207F" w:rsidRDefault="00A8207F" w:rsidP="00365F74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Градостроительные регламенты не устанавливаются для земель сельскохозяйственных угодий в составе земель сельскохозяйственного назначения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A8207F" w:rsidP="00365F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Начальная цена </w:t>
            </w:r>
            <w:r>
              <w:rPr>
                <w:rFonts w:ascii="Times New Roman" w:eastAsiaTheme="minorHAnsi" w:hAnsi="Times New Roman" w:cs="Times New Roman"/>
              </w:rPr>
              <w:t xml:space="preserve">за право на заключение </w:t>
            </w:r>
            <w:r>
              <w:rPr>
                <w:rFonts w:ascii="Times New Roman" w:eastAsiaTheme="minorHAnsi" w:hAnsi="Times New Roman" w:cs="Times New Roman"/>
                <w:bCs/>
              </w:rPr>
              <w:t>договора купли-продажи</w:t>
            </w:r>
            <w:r>
              <w:rPr>
                <w:rFonts w:ascii="Times New Roman" w:eastAsiaTheme="minorHAnsi" w:hAnsi="Times New Roman" w:cs="Times New Roman"/>
              </w:rPr>
              <w:t xml:space="preserve"> (Определена кадастровая стоимость)</w:t>
            </w:r>
          </w:p>
        </w:tc>
        <w:tc>
          <w:tcPr>
            <w:tcW w:w="6991" w:type="dxa"/>
          </w:tcPr>
          <w:p w:rsidR="00A8207F" w:rsidRDefault="00221FB9" w:rsidP="00365F7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154450.96(сто пятьдесят четыре тысячи четыреста </w:t>
            </w:r>
            <w:proofErr w:type="gramStart"/>
            <w:r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пятьдесят  рублей</w:t>
            </w:r>
            <w:proofErr w:type="gramEnd"/>
            <w:r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)96 копеек</w:t>
            </w:r>
          </w:p>
        </w:tc>
      </w:tr>
      <w:tr w:rsidR="00A8207F" w:rsidTr="00365F74">
        <w:trPr>
          <w:trHeight w:val="365"/>
        </w:trPr>
        <w:tc>
          <w:tcPr>
            <w:tcW w:w="3569" w:type="dxa"/>
          </w:tcPr>
          <w:p w:rsidR="00A8207F" w:rsidRDefault="00551328" w:rsidP="00551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«</w:t>
            </w:r>
            <w:r w:rsidR="00A8207F">
              <w:rPr>
                <w:rFonts w:ascii="Times New Roman" w:eastAsiaTheme="minorHAnsi" w:hAnsi="Times New Roman" w:cs="Times New Roman"/>
                <w:color w:val="000000"/>
              </w:rPr>
              <w:t>Шаг аукциона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>»</w:t>
            </w:r>
          </w:p>
        </w:tc>
        <w:tc>
          <w:tcPr>
            <w:tcW w:w="6991" w:type="dxa"/>
          </w:tcPr>
          <w:p w:rsidR="00A8207F" w:rsidRDefault="00221FB9" w:rsidP="00E15C55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4633,53(четыре тысячи шестьсот тридцать три рублей)53 копеек</w:t>
            </w:r>
          </w:p>
        </w:tc>
      </w:tr>
      <w:tr w:rsidR="00551328" w:rsidTr="00365F74">
        <w:trPr>
          <w:trHeight w:val="365"/>
        </w:trPr>
        <w:tc>
          <w:tcPr>
            <w:tcW w:w="3569" w:type="dxa"/>
          </w:tcPr>
          <w:p w:rsidR="00551328" w:rsidRDefault="00551328" w:rsidP="00551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551328">
              <w:rPr>
                <w:rFonts w:ascii="Times New Roman" w:eastAsiaTheme="minorHAnsi" w:hAnsi="Times New Roman" w:cs="Times New Roman"/>
                <w:color w:val="000000"/>
              </w:rPr>
              <w:t>Размер задатка</w:t>
            </w:r>
          </w:p>
        </w:tc>
        <w:tc>
          <w:tcPr>
            <w:tcW w:w="6991" w:type="dxa"/>
          </w:tcPr>
          <w:p w:rsidR="00551328" w:rsidRDefault="00221FB9" w:rsidP="009A354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30890,19(тридцать тысячи восемьсот девяносто рублей)19 копеек</w:t>
            </w:r>
          </w:p>
        </w:tc>
      </w:tr>
    </w:tbl>
    <w:p w:rsidR="00A8207F" w:rsidRDefault="00A8207F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Условия проведения открытого аукциона в электронной форме: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3.1.Дата и время начала подачи заявок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55669">
        <w:rPr>
          <w:rFonts w:ascii="Times New Roman" w:hAnsi="Times New Roman" w:cs="Times New Roman"/>
          <w:b/>
          <w:sz w:val="24"/>
          <w:szCs w:val="24"/>
        </w:rPr>
        <w:t>1</w:t>
      </w:r>
      <w:r w:rsidR="000E047C">
        <w:rPr>
          <w:rFonts w:ascii="Times New Roman" w:hAnsi="Times New Roman" w:cs="Times New Roman"/>
          <w:b/>
          <w:sz w:val="24"/>
          <w:szCs w:val="24"/>
        </w:rPr>
        <w:t>8</w:t>
      </w:r>
      <w:r w:rsidR="00C55669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2024 года с 10 час. 00 мин.</w:t>
      </w:r>
      <w:r>
        <w:rPr>
          <w:rFonts w:ascii="Times New Roman" w:hAnsi="Times New Roman" w:cs="Times New Roman"/>
          <w:sz w:val="24"/>
          <w:szCs w:val="24"/>
        </w:rPr>
        <w:t xml:space="preserve"> Подача заявок осуществляется в электронной форме круглосуточно. </w:t>
      </w:r>
      <w:r>
        <w:rPr>
          <w:rFonts w:ascii="Times New Roman" w:hAnsi="Times New Roman" w:cs="Times New Roman"/>
          <w:b/>
          <w:sz w:val="24"/>
          <w:szCs w:val="24"/>
        </w:rPr>
        <w:t>Место подачи (приема) заявок</w:t>
      </w:r>
      <w:r w:rsidR="00035F04" w:rsidRPr="00035F04">
        <w:t xml:space="preserve"> </w:t>
      </w:r>
      <w:r w:rsidR="00035F04" w:rsidRPr="00035F04">
        <w:rPr>
          <w:rFonts w:ascii="Times New Roman" w:hAnsi="Times New Roman" w:cs="Times New Roman"/>
          <w:b/>
          <w:sz w:val="24"/>
          <w:szCs w:val="24"/>
        </w:rPr>
        <w:t>АО «Сбербанк–АСТ» (https://utp.sberbank-ast.ru)</w:t>
      </w:r>
      <w:r>
        <w:rPr>
          <w:rFonts w:ascii="Times New Roman" w:eastAsia="Times New Roman" w:hAnsi="Times New Roman" w:cs="Times New Roman"/>
        </w:rPr>
        <w:t>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3.2.Дата и время окончания подачи заявок – </w:t>
      </w:r>
      <w:r w:rsidR="00615EB7" w:rsidRPr="00A5052D">
        <w:rPr>
          <w:rFonts w:ascii="Times New Roman" w:hAnsi="Times New Roman" w:cs="Times New Roman"/>
          <w:b/>
          <w:sz w:val="24"/>
          <w:szCs w:val="24"/>
        </w:rPr>
        <w:t>1</w:t>
      </w:r>
      <w:r w:rsidR="000E047C">
        <w:rPr>
          <w:rFonts w:ascii="Times New Roman" w:hAnsi="Times New Roman" w:cs="Times New Roman"/>
          <w:b/>
          <w:sz w:val="24"/>
          <w:szCs w:val="24"/>
        </w:rPr>
        <w:t>7</w:t>
      </w:r>
      <w:r w:rsidR="00615EB7" w:rsidRPr="00A5052D">
        <w:rPr>
          <w:rFonts w:ascii="Times New Roman" w:hAnsi="Times New Roman" w:cs="Times New Roman"/>
          <w:b/>
          <w:sz w:val="24"/>
          <w:szCs w:val="24"/>
        </w:rPr>
        <w:t xml:space="preserve"> ма</w:t>
      </w:r>
      <w:r w:rsidR="00C5566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17 час. 00 мин.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3.3.Дата и время рассмотрения заявок на участие в аукционе (дата определения участников) </w:t>
      </w:r>
      <w:r w:rsidR="000E047C" w:rsidRPr="000E047C">
        <w:rPr>
          <w:rFonts w:ascii="Times New Roman" w:hAnsi="Times New Roman" w:cs="Times New Roman"/>
          <w:b/>
          <w:sz w:val="24"/>
          <w:szCs w:val="24"/>
        </w:rPr>
        <w:t>20</w:t>
      </w:r>
      <w:r w:rsidR="000E0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</w:t>
      </w:r>
      <w:r w:rsidR="00C55669">
        <w:rPr>
          <w:rFonts w:ascii="Times New Roman" w:hAnsi="Times New Roman" w:cs="Times New Roman"/>
          <w:b/>
          <w:bCs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bCs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Проведение аукциона (дата и время начала приема предложений от участников аукциона)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E047C">
        <w:rPr>
          <w:rFonts w:ascii="Times New Roman" w:hAnsi="Times New Roman" w:cs="Times New Roman"/>
          <w:b/>
          <w:sz w:val="24"/>
          <w:szCs w:val="24"/>
        </w:rPr>
        <w:t>2</w:t>
      </w:r>
      <w:r w:rsidR="00D567B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ма</w:t>
      </w:r>
      <w:r w:rsidR="00C5566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2024 года в 10.00</w:t>
      </w:r>
      <w:r>
        <w:rPr>
          <w:rFonts w:ascii="Times New Roman" w:hAnsi="Times New Roman" w:cs="Times New Roman"/>
          <w:sz w:val="24"/>
          <w:szCs w:val="24"/>
        </w:rPr>
        <w:t xml:space="preserve"> (время МСК).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3.5.Место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форме: </w:t>
      </w:r>
      <w:r>
        <w:rPr>
          <w:rFonts w:ascii="Times New Roman" w:hAnsi="Times New Roman" w:cs="Times New Roman"/>
          <w:b/>
          <w:sz w:val="24"/>
          <w:szCs w:val="24"/>
        </w:rPr>
        <w:t xml:space="preserve">электронная торговая площадка </w:t>
      </w:r>
      <w:r w:rsidR="000263FE" w:rsidRPr="000263FE">
        <w:rPr>
          <w:rFonts w:ascii="Times New Roman" w:hAnsi="Times New Roman" w:cs="Times New Roman"/>
          <w:b/>
          <w:sz w:val="24"/>
          <w:szCs w:val="24"/>
        </w:rPr>
        <w:t>АО «Сбербанк–АСТ»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263FE" w:rsidRPr="000263FE">
        <w:rPr>
          <w:rFonts w:ascii="Times New Roman" w:hAnsi="Times New Roman" w:cs="Times New Roman"/>
          <w:b/>
          <w:sz w:val="24"/>
          <w:szCs w:val="24"/>
        </w:rPr>
        <w:t>www.sberbank-ast.ru</w:t>
      </w:r>
      <w:r w:rsidR="00AB1DAA">
        <w:rPr>
          <w:rFonts w:ascii="Times New Roman" w:hAnsi="Times New Roman" w:cs="Times New Roman"/>
          <w:b/>
          <w:sz w:val="24"/>
          <w:szCs w:val="24"/>
        </w:rPr>
        <w:t>)</w:t>
      </w:r>
      <w:r w:rsidR="000263FE" w:rsidRPr="000263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 xml:space="preserve">4.Порядок регистрации на электронной площадке и подачи заявки на участие 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  <w:r>
        <w:rPr>
          <w:b/>
          <w:bCs/>
        </w:rPr>
        <w:t>в аукционе в электронной форме: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rFonts w:ascii="Times New Roman" w:hAnsi="Times New Roman" w:cs="Times New Roman"/>
          <w:sz w:val="24"/>
          <w:szCs w:val="24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Необходимо заполнить электронную форму заявки, приведенную в Приложении № 1 </w:t>
      </w:r>
      <w:r>
        <w:rPr>
          <w:rFonts w:ascii="Times New Roman" w:hAnsi="Times New Roman" w:cs="Times New Roman"/>
          <w:sz w:val="24"/>
          <w:szCs w:val="24"/>
        </w:rPr>
        <w:t>к настоящему информационному сообщению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-если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4.2.Задаток, перечисленный победителем аукциона, засчитывается в сумму платежа по договору купли-продажи.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4.3.</w:t>
      </w:r>
      <w:r>
        <w:rPr>
          <w:rFonts w:ascii="Times New Roman" w:hAnsi="Times New Roman" w:cs="Times New Roman"/>
          <w:color w:val="030000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 w:rsidR="003037D8" w:rsidRDefault="00FC23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Внесение и возврат задатков: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Срок внесения задатка, т.е. поступления суммы задатка на счет оператора электронной площадки: не позднее </w:t>
      </w:r>
      <w:r w:rsidR="000263FE" w:rsidRPr="000263FE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E047C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0263FE" w:rsidRPr="000263FE">
        <w:rPr>
          <w:rFonts w:ascii="Times New Roman" w:eastAsia="Calibri" w:hAnsi="Times New Roman" w:cs="Times New Roman"/>
          <w:b/>
          <w:sz w:val="24"/>
          <w:szCs w:val="24"/>
        </w:rPr>
        <w:t xml:space="preserve"> ма</w:t>
      </w:r>
      <w:r w:rsidR="00C55669">
        <w:rPr>
          <w:rFonts w:ascii="Times New Roman" w:eastAsia="Calibri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17 час. 00 мин.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5.2.</w:t>
      </w: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>Оператор электронной площадки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</w:t>
      </w:r>
      <w:r w:rsidR="000E640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(МСК) дня окончания подачи заявок, указанного в извещении.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Style w:val="a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приведен на электронной площадке по адресу: </w:t>
      </w:r>
      <w:r w:rsidR="006668A0" w:rsidRPr="006668A0">
        <w:rPr>
          <w:rFonts w:ascii="Times New Roman" w:hAnsi="Times New Roman" w:cs="Times New Roman"/>
          <w:color w:val="0070C0"/>
          <w:sz w:val="24"/>
          <w:szCs w:val="24"/>
        </w:rPr>
        <w:t>http://utp.sberbank-ast.ru/Main/Notice/697/Requisites</w:t>
      </w:r>
    </w:p>
    <w:p w:rsidR="006668A0" w:rsidRDefault="00FC23BD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Получатель: АО «Сбербанк-АСТ»;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Наименование банка: ПАО “Сбербанк России” г. Москва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Расчетный счёт: 40702810300020038047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Корр. счёт: 30101810400000000225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БИК:044525225 ИНН: 7707308480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КПП: 770401001</w:t>
      </w:r>
    </w:p>
    <w:p w:rsidR="003037D8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lastRenderedPageBreak/>
        <w:t>Назначение платежа: Перечисление денежных средств в качестве задатка (ИНН плательщика), НДС не облагается.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6.Перечень представляемых претендентами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аукционе в электронной форме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документов и требования к их оформлению: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bCs/>
          <w:sz w:val="24"/>
          <w:szCs w:val="24"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>(образец которой приведен в Приложении № 1)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претендента либо лица, имеющего право действовать от имени претендента.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Предложение о цене подается участником в день проведения аукциона </w:t>
      </w:r>
      <w:r w:rsidR="005A2F9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D567B5">
        <w:rPr>
          <w:rFonts w:ascii="Times New Roman" w:eastAsia="Calibri" w:hAnsi="Times New Roman" w:cs="Times New Roman"/>
          <w:b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ма</w:t>
      </w:r>
      <w:r w:rsidR="00C5566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2024 в 10.00 час.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Претендент вправе подать только одно предложение о цене, которое не может быть изменено.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заявкой претенденты представляют следующие документы: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физические лица: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копию всех листов документа, удостоверяющего личность;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юридические лица: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-заверенные копии учредительных документов; 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1" w:history="1">
        <w:r>
          <w:rPr>
            <w:rStyle w:val="a4"/>
            <w:rFonts w:ascii="Times New Roman" w:hAnsi="Times New Roman"/>
            <w:sz w:val="24"/>
            <w:szCs w:val="24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037D8" w:rsidRDefault="00FC23BD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6.4.</w:t>
      </w:r>
      <w:r>
        <w:rPr>
          <w:rFonts w:ascii="Times New Roman" w:hAnsi="Times New Roman"/>
          <w:sz w:val="24"/>
          <w:szCs w:val="24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6.5.</w:t>
      </w:r>
      <w:r>
        <w:rPr>
          <w:rFonts w:ascii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3037D8" w:rsidRDefault="00FC23BD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shd w:val="clear" w:color="auto" w:fill="FFFF00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>
        <w:rPr>
          <w:rFonts w:ascii="Times New Roman" w:eastAsia="Calibri" w:hAnsi="Times New Roman" w:cs="Times New Roman"/>
          <w:b/>
          <w:sz w:val="24"/>
          <w:szCs w:val="24"/>
        </w:rPr>
        <w:t>Претендент не допускается к участию в аукционе по следующим основаниям: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55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непредставление</w:t>
      </w:r>
      <w:r w:rsidR="00F55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необходимых для участия в аукционе документов или представление недостоверных сведений;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2)не поступление задатка на дату рассмотрения заявок на участие в аукционе и определения участников аукциона;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55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4)наличие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3037D8" w:rsidRDefault="00FC23BD">
      <w:pPr>
        <w:widowControl w:val="0"/>
        <w:autoSpaceDE w:val="0"/>
        <w:spacing w:after="0" w:line="24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8.Порядок рассмотрения заявок на участие в аукционе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</w:t>
      </w:r>
      <w:r w:rsidR="00F556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3037D8" w:rsidRDefault="00FC23BD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 случае, если аукцион признан несостоявшимся и только один заявитель признан участником аукциона, </w:t>
      </w:r>
      <w:r w:rsidR="00F5560E">
        <w:rPr>
          <w:color w:val="000000"/>
        </w:rPr>
        <w:t xml:space="preserve">Администрация Ивановского сельского поселения </w:t>
      </w:r>
      <w:r>
        <w:rPr>
          <w:color w:val="000000"/>
        </w:rPr>
        <w:t>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земельного участка. При этом договор купли-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продажи  земельного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участка заключается по начальной цене предмета аукциона. 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</w:t>
      </w:r>
      <w:r w:rsidR="00F5560E">
        <w:rPr>
          <w:rFonts w:ascii="Times New Roman" w:hAnsi="Times New Roman" w:cs="Times New Roman"/>
          <w:color w:val="000000"/>
          <w:sz w:val="24"/>
          <w:szCs w:val="24"/>
        </w:rPr>
        <w:t>Администрации Ивановского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о результатах аукциона размещается на официальном сайте администрации в течение одного рабочего дня со дня</w:t>
      </w:r>
      <w:r w:rsidR="004B7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3E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подписания  протокола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Победителем аукциона признается участник аукциона, предложивший наибольшую цену земельного участка.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rFonts w:ascii="Times New Roman" w:hAnsi="Times New Roman" w:cs="Times New Roman"/>
          <w:sz w:val="24"/>
          <w:szCs w:val="24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9.Порядок проведения аукциона в электронной форме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</w:t>
      </w:r>
      <w:r w:rsidR="00E1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 аукциона» устанавливается в фиксированной сумме, составляющей 3 (три) процента начальной цены права на заключение договора купли-продажи земельного участка, и не изменяется в течение всего аукциона.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торгов размещается: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начала проведения процедуры аукциона участникам предлагается заявить о заключении договора купли-продажи </w:t>
      </w:r>
      <w:r w:rsidR="00E1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по начальной цене. В случае, если в течение указанного времени: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участник, предложивший наиболее высокую цену права на заключение договора </w:t>
      </w:r>
      <w:r w:rsidR="00304EF7">
        <w:rPr>
          <w:rFonts w:ascii="Times New Roman" w:hAnsi="Times New Roman" w:cs="Times New Roman"/>
          <w:sz w:val="24"/>
          <w:szCs w:val="24"/>
        </w:rPr>
        <w:t>купли-</w:t>
      </w:r>
      <w:proofErr w:type="gramStart"/>
      <w:r w:rsidR="00304EF7">
        <w:rPr>
          <w:rFonts w:ascii="Times New Roman" w:hAnsi="Times New Roman" w:cs="Times New Roman"/>
          <w:sz w:val="24"/>
          <w:szCs w:val="24"/>
        </w:rPr>
        <w:t xml:space="preserve">продажи </w:t>
      </w:r>
      <w:r>
        <w:rPr>
          <w:rFonts w:ascii="Times New Roman" w:hAnsi="Times New Roman" w:cs="Times New Roman"/>
          <w:sz w:val="24"/>
          <w:szCs w:val="24"/>
        </w:rPr>
        <w:t xml:space="preserve"> земельного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участка.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3037D8" w:rsidRDefault="00FC23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10.Заключение договора купли-продажи 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купли-продажи  </w:t>
      </w:r>
      <w:r w:rsidR="004B7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заключается не ранее чем через десять дней со дня размещения информации о результатах аукциона на сайте </w:t>
      </w:r>
      <w:hyperlink r:id="rId12" w:history="1">
        <w:r>
          <w:rPr>
            <w:rStyle w:val="a4"/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с победителем аукциона заключается по цене, установленной по результатам аукциона.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заключается по начальной цене предмета аукциона: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заявителем, признанным единственным участником аукциона,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единственным принявшим участие в аукционе его участником.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договор купли-продажи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уклонившегося от заключения договора купли-продажи,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4B74DA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Приложении № 2 к настоящему извещению.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3037D8" w:rsidRDefault="0030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</w:rPr>
        <w:t>11. Порядок отказа от проведения торгов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3037D8" w:rsidRDefault="00FC23B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отказа от проведения торгов Организатором торгов размещает соответствующее извещение на </w:t>
      </w:r>
      <w:r w:rsidR="00304EF7" w:rsidRPr="00304EF7">
        <w:rPr>
          <w:rFonts w:ascii="Times New Roman" w:hAnsi="Times New Roman" w:cs="Times New Roman"/>
          <w:color w:val="0070C0"/>
          <w:sz w:val="24"/>
          <w:szCs w:val="24"/>
        </w:rPr>
        <w:t xml:space="preserve">http://utp.Sberbank-ast.ru 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3037D8" w:rsidRDefault="003037D8">
      <w:pPr>
        <w:tabs>
          <w:tab w:val="left" w:pos="729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3037D8">
      <w:headerReference w:type="default" r:id="rId13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7FE" w:rsidRDefault="00C027FE">
      <w:pPr>
        <w:spacing w:line="240" w:lineRule="auto"/>
      </w:pPr>
      <w:r>
        <w:separator/>
      </w:r>
    </w:p>
  </w:endnote>
  <w:endnote w:type="continuationSeparator" w:id="0">
    <w:p w:rsidR="00C027FE" w:rsidRDefault="00C027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7FE" w:rsidRDefault="00C027FE">
      <w:pPr>
        <w:spacing w:after="0"/>
      </w:pPr>
      <w:r>
        <w:separator/>
      </w:r>
    </w:p>
  </w:footnote>
  <w:footnote w:type="continuationSeparator" w:id="0">
    <w:p w:rsidR="00C027FE" w:rsidRDefault="00C027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D8" w:rsidRDefault="003037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78BC"/>
    <w:multiLevelType w:val="multilevel"/>
    <w:tmpl w:val="04E578BC"/>
    <w:lvl w:ilvl="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47"/>
    <w:rsid w:val="000050C9"/>
    <w:rsid w:val="00007FA9"/>
    <w:rsid w:val="000146D5"/>
    <w:rsid w:val="000221A8"/>
    <w:rsid w:val="000263FE"/>
    <w:rsid w:val="00035F04"/>
    <w:rsid w:val="00041734"/>
    <w:rsid w:val="000633A0"/>
    <w:rsid w:val="00090506"/>
    <w:rsid w:val="00097175"/>
    <w:rsid w:val="000C6A49"/>
    <w:rsid w:val="000E047C"/>
    <w:rsid w:val="000E3D2F"/>
    <w:rsid w:val="000E6409"/>
    <w:rsid w:val="00100A69"/>
    <w:rsid w:val="00100EF3"/>
    <w:rsid w:val="00110A7B"/>
    <w:rsid w:val="0011139A"/>
    <w:rsid w:val="001242CE"/>
    <w:rsid w:val="00125AA7"/>
    <w:rsid w:val="0014101D"/>
    <w:rsid w:val="00154397"/>
    <w:rsid w:val="00183F53"/>
    <w:rsid w:val="00197EE6"/>
    <w:rsid w:val="001A2810"/>
    <w:rsid w:val="001A3284"/>
    <w:rsid w:val="001A3D9B"/>
    <w:rsid w:val="001B6154"/>
    <w:rsid w:val="00210749"/>
    <w:rsid w:val="00211E5F"/>
    <w:rsid w:val="002127C8"/>
    <w:rsid w:val="00221FB9"/>
    <w:rsid w:val="002244E9"/>
    <w:rsid w:val="002406F7"/>
    <w:rsid w:val="00240DA3"/>
    <w:rsid w:val="002576D3"/>
    <w:rsid w:val="002634ED"/>
    <w:rsid w:val="00273376"/>
    <w:rsid w:val="00274568"/>
    <w:rsid w:val="002D7828"/>
    <w:rsid w:val="002E6259"/>
    <w:rsid w:val="002F4A29"/>
    <w:rsid w:val="003037D8"/>
    <w:rsid w:val="00304EF7"/>
    <w:rsid w:val="003160AB"/>
    <w:rsid w:val="0032293F"/>
    <w:rsid w:val="00327C71"/>
    <w:rsid w:val="00336745"/>
    <w:rsid w:val="00347EBF"/>
    <w:rsid w:val="00357272"/>
    <w:rsid w:val="003718B2"/>
    <w:rsid w:val="00376FBB"/>
    <w:rsid w:val="00377AFF"/>
    <w:rsid w:val="003C3965"/>
    <w:rsid w:val="003C57B9"/>
    <w:rsid w:val="003E7F0F"/>
    <w:rsid w:val="003F4737"/>
    <w:rsid w:val="003F569F"/>
    <w:rsid w:val="003F6C93"/>
    <w:rsid w:val="003F7769"/>
    <w:rsid w:val="00412EDA"/>
    <w:rsid w:val="004636A9"/>
    <w:rsid w:val="004747FE"/>
    <w:rsid w:val="004808EE"/>
    <w:rsid w:val="00487CDA"/>
    <w:rsid w:val="004A4F24"/>
    <w:rsid w:val="004A576A"/>
    <w:rsid w:val="004B74DA"/>
    <w:rsid w:val="004C0EAD"/>
    <w:rsid w:val="004C316B"/>
    <w:rsid w:val="004C72F7"/>
    <w:rsid w:val="004D0527"/>
    <w:rsid w:val="004D69D0"/>
    <w:rsid w:val="004F17AF"/>
    <w:rsid w:val="004F5142"/>
    <w:rsid w:val="0051310A"/>
    <w:rsid w:val="00533CAF"/>
    <w:rsid w:val="00540558"/>
    <w:rsid w:val="00541567"/>
    <w:rsid w:val="0054187D"/>
    <w:rsid w:val="00551328"/>
    <w:rsid w:val="00563EC7"/>
    <w:rsid w:val="00582FF3"/>
    <w:rsid w:val="005A2F94"/>
    <w:rsid w:val="005A54DC"/>
    <w:rsid w:val="005B5AC9"/>
    <w:rsid w:val="005C0CF7"/>
    <w:rsid w:val="005C5747"/>
    <w:rsid w:val="005C7E61"/>
    <w:rsid w:val="005E566C"/>
    <w:rsid w:val="005F06E6"/>
    <w:rsid w:val="00606151"/>
    <w:rsid w:val="00615EB7"/>
    <w:rsid w:val="00621365"/>
    <w:rsid w:val="00626537"/>
    <w:rsid w:val="00636593"/>
    <w:rsid w:val="00660D7D"/>
    <w:rsid w:val="006668A0"/>
    <w:rsid w:val="00685EEE"/>
    <w:rsid w:val="00717C64"/>
    <w:rsid w:val="00721DA8"/>
    <w:rsid w:val="00721E0C"/>
    <w:rsid w:val="00726A68"/>
    <w:rsid w:val="00735375"/>
    <w:rsid w:val="00771246"/>
    <w:rsid w:val="0077553E"/>
    <w:rsid w:val="00782919"/>
    <w:rsid w:val="00792EEC"/>
    <w:rsid w:val="007A277B"/>
    <w:rsid w:val="007A5BBC"/>
    <w:rsid w:val="007D19B0"/>
    <w:rsid w:val="007E53AF"/>
    <w:rsid w:val="007E798E"/>
    <w:rsid w:val="007F5EA0"/>
    <w:rsid w:val="0080082C"/>
    <w:rsid w:val="008619FA"/>
    <w:rsid w:val="00865182"/>
    <w:rsid w:val="00872339"/>
    <w:rsid w:val="00885A33"/>
    <w:rsid w:val="008C00B2"/>
    <w:rsid w:val="008D1A99"/>
    <w:rsid w:val="00922C51"/>
    <w:rsid w:val="00925EB9"/>
    <w:rsid w:val="00936E45"/>
    <w:rsid w:val="009422B9"/>
    <w:rsid w:val="00945069"/>
    <w:rsid w:val="009637DC"/>
    <w:rsid w:val="0097026C"/>
    <w:rsid w:val="009808D7"/>
    <w:rsid w:val="009836FF"/>
    <w:rsid w:val="00994CAB"/>
    <w:rsid w:val="009953CD"/>
    <w:rsid w:val="009A354D"/>
    <w:rsid w:val="009A6C19"/>
    <w:rsid w:val="009B2F55"/>
    <w:rsid w:val="009B43E4"/>
    <w:rsid w:val="009C4CEE"/>
    <w:rsid w:val="009D5608"/>
    <w:rsid w:val="009D60C5"/>
    <w:rsid w:val="009D67ED"/>
    <w:rsid w:val="009E3359"/>
    <w:rsid w:val="009E50E4"/>
    <w:rsid w:val="00A36E2F"/>
    <w:rsid w:val="00A5052D"/>
    <w:rsid w:val="00A623B9"/>
    <w:rsid w:val="00A65A05"/>
    <w:rsid w:val="00A771E2"/>
    <w:rsid w:val="00A80009"/>
    <w:rsid w:val="00A819CE"/>
    <w:rsid w:val="00A8207F"/>
    <w:rsid w:val="00A825CB"/>
    <w:rsid w:val="00A83BC4"/>
    <w:rsid w:val="00A9664A"/>
    <w:rsid w:val="00A967FF"/>
    <w:rsid w:val="00AA265E"/>
    <w:rsid w:val="00AA6471"/>
    <w:rsid w:val="00AB1239"/>
    <w:rsid w:val="00AB1DAA"/>
    <w:rsid w:val="00AC377A"/>
    <w:rsid w:val="00AC6820"/>
    <w:rsid w:val="00AC740C"/>
    <w:rsid w:val="00AD4AF6"/>
    <w:rsid w:val="00AE01DD"/>
    <w:rsid w:val="00AE5B56"/>
    <w:rsid w:val="00B26A79"/>
    <w:rsid w:val="00B35C80"/>
    <w:rsid w:val="00B36305"/>
    <w:rsid w:val="00B40537"/>
    <w:rsid w:val="00B416B5"/>
    <w:rsid w:val="00B42741"/>
    <w:rsid w:val="00B62784"/>
    <w:rsid w:val="00B91F9E"/>
    <w:rsid w:val="00B97DAA"/>
    <w:rsid w:val="00BA07FB"/>
    <w:rsid w:val="00BB642F"/>
    <w:rsid w:val="00BE235D"/>
    <w:rsid w:val="00BF7705"/>
    <w:rsid w:val="00BF7964"/>
    <w:rsid w:val="00C027FE"/>
    <w:rsid w:val="00C22447"/>
    <w:rsid w:val="00C3131B"/>
    <w:rsid w:val="00C5158C"/>
    <w:rsid w:val="00C55053"/>
    <w:rsid w:val="00C55669"/>
    <w:rsid w:val="00C6026C"/>
    <w:rsid w:val="00C766D5"/>
    <w:rsid w:val="00CA0977"/>
    <w:rsid w:val="00CB6D0F"/>
    <w:rsid w:val="00CE1D23"/>
    <w:rsid w:val="00D230E4"/>
    <w:rsid w:val="00D30EEC"/>
    <w:rsid w:val="00D567B5"/>
    <w:rsid w:val="00D70A77"/>
    <w:rsid w:val="00DA772E"/>
    <w:rsid w:val="00DB0619"/>
    <w:rsid w:val="00DD50D9"/>
    <w:rsid w:val="00E124A9"/>
    <w:rsid w:val="00E13E21"/>
    <w:rsid w:val="00E15C55"/>
    <w:rsid w:val="00E41C48"/>
    <w:rsid w:val="00E636E9"/>
    <w:rsid w:val="00E90D6D"/>
    <w:rsid w:val="00E90FFA"/>
    <w:rsid w:val="00EB246B"/>
    <w:rsid w:val="00EB2BE0"/>
    <w:rsid w:val="00EC4D7E"/>
    <w:rsid w:val="00ED0253"/>
    <w:rsid w:val="00EE07F6"/>
    <w:rsid w:val="00EE4C24"/>
    <w:rsid w:val="00EE6D7B"/>
    <w:rsid w:val="00F06E7C"/>
    <w:rsid w:val="00F1236F"/>
    <w:rsid w:val="00F20FFD"/>
    <w:rsid w:val="00F43B7E"/>
    <w:rsid w:val="00F44482"/>
    <w:rsid w:val="00F5560E"/>
    <w:rsid w:val="00FA690B"/>
    <w:rsid w:val="00FC23BD"/>
    <w:rsid w:val="00FD3FFC"/>
    <w:rsid w:val="00FD5540"/>
    <w:rsid w:val="00FE5BCC"/>
    <w:rsid w:val="00FE6AEC"/>
    <w:rsid w:val="00FF1794"/>
    <w:rsid w:val="00FF180B"/>
    <w:rsid w:val="00FF1AC9"/>
    <w:rsid w:val="00FF4E24"/>
    <w:rsid w:val="0111645D"/>
    <w:rsid w:val="06A33F05"/>
    <w:rsid w:val="070255EB"/>
    <w:rsid w:val="0FC96EC2"/>
    <w:rsid w:val="119A3A9C"/>
    <w:rsid w:val="11E16300"/>
    <w:rsid w:val="16EA018D"/>
    <w:rsid w:val="1701281C"/>
    <w:rsid w:val="25D6235B"/>
    <w:rsid w:val="281B6AD6"/>
    <w:rsid w:val="2FC13EB0"/>
    <w:rsid w:val="3B4E3CA7"/>
    <w:rsid w:val="3C3D23AF"/>
    <w:rsid w:val="45AB4212"/>
    <w:rsid w:val="486F53BE"/>
    <w:rsid w:val="4AC87380"/>
    <w:rsid w:val="4B0C1603"/>
    <w:rsid w:val="4BC57522"/>
    <w:rsid w:val="55F41CF4"/>
    <w:rsid w:val="56F55A2C"/>
    <w:rsid w:val="576E4E94"/>
    <w:rsid w:val="57AB5876"/>
    <w:rsid w:val="57FA24F9"/>
    <w:rsid w:val="5D1B45BC"/>
    <w:rsid w:val="5D5913E1"/>
    <w:rsid w:val="616E16CD"/>
    <w:rsid w:val="639E1468"/>
    <w:rsid w:val="6DF27597"/>
    <w:rsid w:val="6EDB4A3C"/>
    <w:rsid w:val="7BEF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5F426-F3C2-402C-869E-2581C488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qFormat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qFormat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qFormat/>
    <w:pPr>
      <w:spacing w:after="120"/>
    </w:pPr>
    <w:rPr>
      <w:sz w:val="16"/>
      <w:szCs w:val="16"/>
    </w:rPr>
  </w:style>
  <w:style w:type="table" w:styleId="af0">
    <w:name w:val="Table Grid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af2">
    <w:name w:val="No Spacing"/>
    <w:qFormat/>
    <w:rPr>
      <w:rFonts w:ascii="Calibri" w:eastAsia="Times New Roman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">
    <w:name w:val="Основной текст с отступом Знак"/>
    <w:basedOn w:val="a0"/>
    <w:link w:val="ab"/>
    <w:qFormat/>
    <w:rPr>
      <w:rFonts w:ascii="Calibri" w:eastAsia="Times New Roman" w:hAnsi="Calibri" w:cs="Calibri"/>
      <w:lang w:eastAsia="ar-SA"/>
    </w:rPr>
  </w:style>
  <w:style w:type="character" w:customStyle="1" w:styleId="30">
    <w:name w:val="Основной текст с отступом 3 Знак"/>
    <w:basedOn w:val="a0"/>
    <w:link w:val="3"/>
    <w:qFormat/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Pr>
      <w:sz w:val="16"/>
      <w:szCs w:val="1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18AF8E902C8A8369C11EDDC3A943C2AAEAED217A7EF984E6EEF39448E5D826804E731581A443F6h3BB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tp.sberbank-ast.ru" TargetMode="External"/><Relationship Id="rId4" Type="http://schemas.openxmlformats.org/officeDocument/2006/relationships/styles" Target="styles.xml"/><Relationship Id="rId9" Type="http://schemas.openxmlformats.org/officeDocument/2006/relationships/hyperlink" Target="http://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74247B-D5D7-4340-8FD6-FA18DA91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3974</Words>
  <Characters>22655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Лида</cp:lastModifiedBy>
  <cp:revision>34</cp:revision>
  <cp:lastPrinted>2023-09-15T05:50:00Z</cp:lastPrinted>
  <dcterms:created xsi:type="dcterms:W3CDTF">2023-03-03T08:01:00Z</dcterms:created>
  <dcterms:modified xsi:type="dcterms:W3CDTF">2024-04-17T12:14:00Z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